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EE45A" w14:textId="2C61B349" w:rsidR="000634D6" w:rsidRPr="009538C2" w:rsidRDefault="00D5775E">
      <w:pPr>
        <w:rPr>
          <w:b/>
          <w:bCs/>
          <w:sz w:val="20"/>
          <w:szCs w:val="20"/>
        </w:rPr>
      </w:pPr>
      <w:r w:rsidRPr="009538C2">
        <w:rPr>
          <w:b/>
          <w:bCs/>
          <w:sz w:val="20"/>
          <w:szCs w:val="20"/>
        </w:rPr>
        <w:t xml:space="preserve">Supplementary material for </w:t>
      </w:r>
      <w:r w:rsidR="009538C2" w:rsidRPr="009538C2">
        <w:rPr>
          <w:b/>
          <w:bCs/>
          <w:sz w:val="20"/>
          <w:szCs w:val="20"/>
        </w:rPr>
        <w:t xml:space="preserve">Tokunaga K, Blandon A, </w:t>
      </w:r>
      <w:proofErr w:type="spellStart"/>
      <w:r w:rsidR="009538C2" w:rsidRPr="009538C2">
        <w:rPr>
          <w:b/>
          <w:bCs/>
          <w:sz w:val="20"/>
          <w:szCs w:val="20"/>
        </w:rPr>
        <w:t>Blasiak</w:t>
      </w:r>
      <w:proofErr w:type="spellEnd"/>
      <w:r w:rsidR="009538C2" w:rsidRPr="009538C2">
        <w:rPr>
          <w:b/>
          <w:bCs/>
          <w:sz w:val="20"/>
          <w:szCs w:val="20"/>
        </w:rPr>
        <w:t xml:space="preserve"> R, </w:t>
      </w:r>
      <w:proofErr w:type="spellStart"/>
      <w:r w:rsidR="009538C2" w:rsidRPr="009538C2">
        <w:rPr>
          <w:b/>
          <w:bCs/>
          <w:sz w:val="20"/>
          <w:szCs w:val="20"/>
        </w:rPr>
        <w:t>Jouffray</w:t>
      </w:r>
      <w:proofErr w:type="spellEnd"/>
      <w:r w:rsidR="009538C2" w:rsidRPr="009538C2">
        <w:rPr>
          <w:b/>
          <w:bCs/>
          <w:sz w:val="20"/>
          <w:szCs w:val="20"/>
        </w:rPr>
        <w:t xml:space="preserve"> J-B, </w:t>
      </w:r>
      <w:proofErr w:type="spellStart"/>
      <w:r w:rsidR="009538C2" w:rsidRPr="009538C2">
        <w:rPr>
          <w:b/>
          <w:bCs/>
          <w:sz w:val="20"/>
          <w:szCs w:val="20"/>
        </w:rPr>
        <w:t>Wabnitz</w:t>
      </w:r>
      <w:proofErr w:type="spellEnd"/>
      <w:r w:rsidR="009538C2" w:rsidRPr="009538C2">
        <w:rPr>
          <w:b/>
          <w:bCs/>
          <w:sz w:val="20"/>
          <w:szCs w:val="20"/>
        </w:rPr>
        <w:t xml:space="preserve"> CCC, </w:t>
      </w:r>
      <w:proofErr w:type="spellStart"/>
      <w:r w:rsidR="009538C2" w:rsidRPr="009538C2">
        <w:rPr>
          <w:b/>
          <w:bCs/>
          <w:sz w:val="20"/>
          <w:szCs w:val="20"/>
        </w:rPr>
        <w:t>Norström</w:t>
      </w:r>
      <w:proofErr w:type="spellEnd"/>
      <w:r w:rsidR="009538C2" w:rsidRPr="009538C2">
        <w:rPr>
          <w:b/>
          <w:bCs/>
          <w:sz w:val="20"/>
          <w:szCs w:val="20"/>
        </w:rPr>
        <w:t xml:space="preserve"> AV (2021) </w:t>
      </w:r>
      <w:r w:rsidR="009538C2" w:rsidRPr="00BA4A81">
        <w:rPr>
          <w:b/>
          <w:bCs/>
          <w:i/>
          <w:iCs/>
          <w:sz w:val="20"/>
          <w:szCs w:val="20"/>
        </w:rPr>
        <w:t>Ocean risks in SIDS and LDCs.</w:t>
      </w:r>
      <w:r w:rsidR="009538C2" w:rsidRPr="009538C2">
        <w:rPr>
          <w:b/>
          <w:bCs/>
          <w:sz w:val="20"/>
          <w:szCs w:val="20"/>
        </w:rPr>
        <w:t xml:space="preserve"> Ocean Risk and Resilience Action Alliance (ORRAA) Report</w:t>
      </w:r>
    </w:p>
    <w:p w14:paraId="04A04C3D" w14:textId="4E8E65DF" w:rsidR="00D5775E" w:rsidRPr="009538C2" w:rsidRDefault="00D5775E" w:rsidP="00D5775E">
      <w:pPr>
        <w:rPr>
          <w:sz w:val="20"/>
          <w:szCs w:val="20"/>
        </w:rPr>
      </w:pPr>
      <w:r w:rsidRPr="009538C2">
        <w:rPr>
          <w:sz w:val="20"/>
          <w:szCs w:val="20"/>
        </w:rPr>
        <w:t>Internal displacement by region and cause (Figures show per capita (top) and total number of (bottom) new internal displacement caused by natural disasters from 2008 – 2019 by different hazard types. Data: Internal Displacement Monitoring Centre (https://www.internal-displacement.org/) The definition of internally displaced persons follow the UN definition: "Persons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border” (Guiding Principles on Internal Displacement, 1998). For more information, refer to https://www.internal-displacement.org/internal-displacement).</w:t>
      </w:r>
    </w:p>
    <w:p w14:paraId="03C7056E" w14:textId="77777777" w:rsidR="00D5775E" w:rsidRPr="009538C2" w:rsidRDefault="00D5775E">
      <w:pPr>
        <w:rPr>
          <w:sz w:val="20"/>
          <w:szCs w:val="20"/>
        </w:rPr>
      </w:pPr>
    </w:p>
    <w:p w14:paraId="11DC3606" w14:textId="77777777" w:rsidR="00D5775E" w:rsidRPr="009538C2" w:rsidRDefault="00D5775E">
      <w:pPr>
        <w:rPr>
          <w:sz w:val="20"/>
          <w:szCs w:val="20"/>
        </w:rPr>
      </w:pPr>
      <w:r w:rsidRPr="009538C2">
        <w:rPr>
          <w:noProof/>
          <w:sz w:val="20"/>
          <w:szCs w:val="20"/>
        </w:rPr>
        <w:drawing>
          <wp:inline distT="0" distB="0" distL="0" distR="0" wp14:anchorId="74CEE037" wp14:editId="6E288288">
            <wp:extent cx="4097007" cy="28346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097007" cy="2834640"/>
                    </a:xfrm>
                    <a:prstGeom prst="rect">
                      <a:avLst/>
                    </a:prstGeom>
                  </pic:spPr>
                </pic:pic>
              </a:graphicData>
            </a:graphic>
          </wp:inline>
        </w:drawing>
      </w:r>
      <w:r w:rsidRPr="009538C2">
        <w:rPr>
          <w:noProof/>
          <w:sz w:val="20"/>
          <w:szCs w:val="20"/>
        </w:rPr>
        <w:drawing>
          <wp:inline distT="0" distB="0" distL="0" distR="0" wp14:anchorId="08D4B599" wp14:editId="2AFF653F">
            <wp:extent cx="4097007" cy="28346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097007" cy="2834640"/>
                    </a:xfrm>
                    <a:prstGeom prst="rect">
                      <a:avLst/>
                    </a:prstGeom>
                  </pic:spPr>
                </pic:pic>
              </a:graphicData>
            </a:graphic>
          </wp:inline>
        </w:drawing>
      </w:r>
    </w:p>
    <w:p w14:paraId="5B6BCE6A" w14:textId="77777777" w:rsidR="00D5775E" w:rsidRPr="009538C2" w:rsidRDefault="00D5775E">
      <w:pPr>
        <w:rPr>
          <w:sz w:val="20"/>
          <w:szCs w:val="20"/>
        </w:rPr>
      </w:pPr>
    </w:p>
    <w:p w14:paraId="4BB6D4C7" w14:textId="6CDB7679" w:rsidR="00D5775E" w:rsidRPr="009538C2" w:rsidRDefault="00D5775E">
      <w:pPr>
        <w:rPr>
          <w:sz w:val="20"/>
          <w:szCs w:val="20"/>
        </w:rPr>
      </w:pPr>
      <w:r w:rsidRPr="009538C2">
        <w:rPr>
          <w:sz w:val="20"/>
          <w:szCs w:val="20"/>
        </w:rPr>
        <w:t xml:space="preserve">Sea level rise (Figures show the findings from </w:t>
      </w:r>
      <w:proofErr w:type="spellStart"/>
      <w:r w:rsidRPr="009538C2">
        <w:rPr>
          <w:sz w:val="20"/>
          <w:szCs w:val="20"/>
        </w:rPr>
        <w:t>Desmet</w:t>
      </w:r>
      <w:proofErr w:type="spellEnd"/>
      <w:r w:rsidRPr="009538C2">
        <w:rPr>
          <w:sz w:val="20"/>
          <w:szCs w:val="20"/>
        </w:rPr>
        <w:t xml:space="preserve"> et al. 2021 that estimated the impacts of sea level rise on real GDP (top), welfare (middle), and population (bottom) in each country. Colors </w:t>
      </w:r>
      <w:proofErr w:type="spellStart"/>
      <w:r w:rsidRPr="009538C2">
        <w:rPr>
          <w:sz w:val="20"/>
          <w:szCs w:val="20"/>
        </w:rPr>
        <w:t>indicateLDC</w:t>
      </w:r>
      <w:proofErr w:type="spellEnd"/>
      <w:r w:rsidRPr="009538C2">
        <w:rPr>
          <w:sz w:val="20"/>
          <w:szCs w:val="20"/>
        </w:rPr>
        <w:t xml:space="preserve"> SIDS (red), non-LDC SIDS (green</w:t>
      </w:r>
      <w:proofErr w:type="gramStart"/>
      <w:r w:rsidRPr="009538C2">
        <w:rPr>
          <w:sz w:val="20"/>
          <w:szCs w:val="20"/>
        </w:rPr>
        <w:t>),other</w:t>
      </w:r>
      <w:proofErr w:type="gramEnd"/>
      <w:r w:rsidRPr="009538C2">
        <w:rPr>
          <w:sz w:val="20"/>
          <w:szCs w:val="20"/>
        </w:rPr>
        <w:t xml:space="preserve"> LDC (blue), and other (purple). Global regions were assigned based on the UN region category.  All three figures show the changes in the next 200 years. In top two figures, PDV stands for present discounted values. As noted in </w:t>
      </w:r>
      <w:proofErr w:type="spellStart"/>
      <w:r w:rsidRPr="009538C2">
        <w:rPr>
          <w:sz w:val="20"/>
          <w:szCs w:val="20"/>
        </w:rPr>
        <w:t>Desmet</w:t>
      </w:r>
      <w:proofErr w:type="spellEnd"/>
      <w:r w:rsidRPr="009538C2">
        <w:rPr>
          <w:sz w:val="20"/>
          <w:szCs w:val="20"/>
        </w:rPr>
        <w:t xml:space="preserve"> et al. 2021, welfare measure also accounts for changes in local amenities and an individual’s idiosyncratic preferences for location. Data: </w:t>
      </w:r>
      <w:proofErr w:type="spellStart"/>
      <w:r w:rsidRPr="009538C2">
        <w:rPr>
          <w:sz w:val="20"/>
          <w:szCs w:val="20"/>
        </w:rPr>
        <w:t>Desmet</w:t>
      </w:r>
      <w:proofErr w:type="spellEnd"/>
      <w:r w:rsidRPr="009538C2">
        <w:rPr>
          <w:sz w:val="20"/>
          <w:szCs w:val="20"/>
        </w:rPr>
        <w:t xml:space="preserve"> et al. 2021 Table A1 available from https://doi.org/10.1257/mac.20180366)</w:t>
      </w:r>
    </w:p>
    <w:p w14:paraId="66816D29" w14:textId="77777777" w:rsidR="00D5775E" w:rsidRPr="009538C2" w:rsidRDefault="00D5775E">
      <w:pPr>
        <w:rPr>
          <w:sz w:val="20"/>
          <w:szCs w:val="20"/>
        </w:rPr>
      </w:pPr>
    </w:p>
    <w:p w14:paraId="2E8F1CC0" w14:textId="77777777" w:rsidR="00D5775E" w:rsidRPr="009538C2" w:rsidRDefault="00D5775E">
      <w:pPr>
        <w:rPr>
          <w:sz w:val="20"/>
          <w:szCs w:val="20"/>
        </w:rPr>
      </w:pPr>
      <w:r w:rsidRPr="009538C2">
        <w:rPr>
          <w:noProof/>
          <w:sz w:val="20"/>
          <w:szCs w:val="20"/>
        </w:rPr>
        <w:drawing>
          <wp:inline distT="0" distB="0" distL="0" distR="0" wp14:anchorId="2AFD1888" wp14:editId="2FA2AEB0">
            <wp:extent cx="5372100"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5295" cy="5375295"/>
                    </a:xfrm>
                    <a:prstGeom prst="rect">
                      <a:avLst/>
                    </a:prstGeom>
                  </pic:spPr>
                </pic:pic>
              </a:graphicData>
            </a:graphic>
          </wp:inline>
        </w:drawing>
      </w:r>
    </w:p>
    <w:p w14:paraId="77DF5E65" w14:textId="434EB6FC" w:rsidR="00D5775E" w:rsidRPr="009538C2" w:rsidRDefault="00D5775E">
      <w:pPr>
        <w:rPr>
          <w:sz w:val="20"/>
          <w:szCs w:val="20"/>
        </w:rPr>
      </w:pPr>
      <w:r w:rsidRPr="009538C2">
        <w:rPr>
          <w:noProof/>
          <w:sz w:val="20"/>
          <w:szCs w:val="20"/>
        </w:rPr>
        <w:lastRenderedPageBreak/>
        <w:drawing>
          <wp:inline distT="0" distB="0" distL="0" distR="0" wp14:anchorId="3DCEB518" wp14:editId="7C997486">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9538C2">
        <w:rPr>
          <w:noProof/>
          <w:sz w:val="20"/>
          <w:szCs w:val="20"/>
        </w:rPr>
        <w:lastRenderedPageBreak/>
        <w:drawing>
          <wp:inline distT="0" distB="0" distL="0" distR="0" wp14:anchorId="04BC0DA3" wp14:editId="13B0E967">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D5775E" w:rsidRPr="009538C2" w:rsidSect="00E84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32EFC"/>
    <w:multiLevelType w:val="multilevel"/>
    <w:tmpl w:val="FA8EDD7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5E"/>
    <w:rsid w:val="000634D6"/>
    <w:rsid w:val="001F3534"/>
    <w:rsid w:val="00427649"/>
    <w:rsid w:val="009538C2"/>
    <w:rsid w:val="00B43277"/>
    <w:rsid w:val="00BA4A81"/>
    <w:rsid w:val="00C64E43"/>
    <w:rsid w:val="00D5775E"/>
    <w:rsid w:val="00E84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F7CA081"/>
  <w15:chartTrackingRefBased/>
  <w15:docId w15:val="{9B4D8363-F2BE-2B49-9F8B-3F2FD69E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277"/>
    <w:pPr>
      <w:spacing w:afterLines="60" w:after="144"/>
    </w:pPr>
    <w:rPr>
      <w:rFonts w:ascii="Palatino Linotype" w:hAnsi="Palatino Linotype"/>
      <w:sz w:val="21"/>
      <w:szCs w:val="21"/>
    </w:rPr>
  </w:style>
  <w:style w:type="paragraph" w:styleId="Heading1">
    <w:name w:val="heading 1"/>
    <w:basedOn w:val="ListParagraph"/>
    <w:next w:val="Normal"/>
    <w:link w:val="Heading1Char"/>
    <w:uiPriority w:val="9"/>
    <w:qFormat/>
    <w:rsid w:val="00B43277"/>
    <w:pPr>
      <w:numPr>
        <w:numId w:val="12"/>
      </w:numPr>
      <w:spacing w:before="240" w:after="120"/>
      <w:outlineLvl w:val="0"/>
    </w:pPr>
    <w:rPr>
      <w:rFonts w:cs="Times New Roman"/>
      <w:sz w:val="24"/>
      <w:szCs w:val="24"/>
    </w:rPr>
  </w:style>
  <w:style w:type="paragraph" w:styleId="Heading2">
    <w:name w:val="heading 2"/>
    <w:basedOn w:val="ListParagraph"/>
    <w:next w:val="Normal"/>
    <w:link w:val="Heading2Char"/>
    <w:uiPriority w:val="9"/>
    <w:unhideWhenUsed/>
    <w:qFormat/>
    <w:rsid w:val="00B43277"/>
    <w:pPr>
      <w:numPr>
        <w:ilvl w:val="1"/>
        <w:numId w:val="12"/>
      </w:numPr>
      <w:spacing w:after="60"/>
      <w:outlineLvl w:val="1"/>
    </w:pPr>
    <w:rPr>
      <w:rFonts w:cs="Times New Roman"/>
      <w:sz w:val="24"/>
      <w:szCs w:val="24"/>
    </w:rPr>
  </w:style>
  <w:style w:type="paragraph" w:styleId="Heading3">
    <w:name w:val="heading 3"/>
    <w:basedOn w:val="Normal"/>
    <w:next w:val="Normal"/>
    <w:link w:val="Heading3Char"/>
    <w:uiPriority w:val="9"/>
    <w:unhideWhenUsed/>
    <w:qFormat/>
    <w:rsid w:val="00B43277"/>
    <w:pPr>
      <w:spacing w:afterLines="0" w:after="0"/>
      <w:outlineLvl w:val="2"/>
    </w:pPr>
    <w:rPr>
      <w:rFonts w:cs="Times New Roman"/>
      <w:i/>
      <w:iCs/>
      <w:sz w:val="24"/>
      <w:szCs w:val="24"/>
    </w:rPr>
  </w:style>
  <w:style w:type="paragraph" w:styleId="Heading4">
    <w:name w:val="heading 4"/>
    <w:basedOn w:val="Normal"/>
    <w:next w:val="Normal"/>
    <w:link w:val="Heading4Char"/>
    <w:uiPriority w:val="9"/>
    <w:unhideWhenUsed/>
    <w:qFormat/>
    <w:rsid w:val="00B43277"/>
    <w:pPr>
      <w:spacing w:afterLines="0" w:after="0"/>
      <w:outlineLvl w:val="3"/>
    </w:pPr>
    <w:rPr>
      <w:rFont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277"/>
    <w:rPr>
      <w:rFonts w:ascii="Palatino Linotype" w:hAnsi="Palatino Linotype" w:cs="Times New Roman"/>
    </w:rPr>
  </w:style>
  <w:style w:type="paragraph" w:styleId="ListParagraph">
    <w:name w:val="List Paragraph"/>
    <w:basedOn w:val="Normal"/>
    <w:uiPriority w:val="34"/>
    <w:rsid w:val="001F3534"/>
    <w:pPr>
      <w:ind w:left="720"/>
      <w:contextualSpacing/>
    </w:pPr>
  </w:style>
  <w:style w:type="character" w:customStyle="1" w:styleId="Heading2Char">
    <w:name w:val="Heading 2 Char"/>
    <w:basedOn w:val="DefaultParagraphFont"/>
    <w:link w:val="Heading2"/>
    <w:uiPriority w:val="9"/>
    <w:rsid w:val="00B43277"/>
    <w:rPr>
      <w:rFonts w:ascii="Palatino Linotype" w:hAnsi="Palatino Linotype" w:cs="Times New Roman"/>
    </w:rPr>
  </w:style>
  <w:style w:type="character" w:customStyle="1" w:styleId="Heading3Char">
    <w:name w:val="Heading 3 Char"/>
    <w:basedOn w:val="DefaultParagraphFont"/>
    <w:link w:val="Heading3"/>
    <w:uiPriority w:val="9"/>
    <w:rsid w:val="00B43277"/>
    <w:rPr>
      <w:rFonts w:ascii="Palatino Linotype" w:hAnsi="Palatino Linotype" w:cs="Times New Roman"/>
      <w:i/>
      <w:iCs/>
    </w:rPr>
  </w:style>
  <w:style w:type="character" w:customStyle="1" w:styleId="Heading4Char">
    <w:name w:val="Heading 4 Char"/>
    <w:basedOn w:val="DefaultParagraphFont"/>
    <w:link w:val="Heading4"/>
    <w:uiPriority w:val="9"/>
    <w:rsid w:val="00B43277"/>
    <w:rPr>
      <w:rFonts w:ascii="Palatino Linotype" w:hAnsi="Palatino Linotype" w:cs="Times New Roman"/>
      <w:b/>
      <w:bCs/>
    </w:rPr>
  </w:style>
  <w:style w:type="paragraph" w:styleId="NoSpacing">
    <w:name w:val="No Spacing"/>
    <w:basedOn w:val="Normal"/>
    <w:uiPriority w:val="1"/>
    <w:qFormat/>
    <w:rsid w:val="00B43277"/>
    <w:pPr>
      <w:spacing w:afterLines="0" w:after="0"/>
      <w:ind w:firstLine="432"/>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ustomXml" Target="../customXml/item3.xml"/></Relationships>
</file>

<file path=word/theme/theme1.xml><?xml version="1.0" encoding="utf-8"?>
<a:theme xmlns:a="http://schemas.openxmlformats.org/drawingml/2006/main" name="GMRI_Garamond11">
  <a:themeElements>
    <a:clrScheme name="GMRI">
      <a:dk1>
        <a:srgbClr val="000000"/>
      </a:dk1>
      <a:lt1>
        <a:srgbClr val="E8E9E8"/>
      </a:lt1>
      <a:dk2>
        <a:srgbClr val="525454"/>
      </a:dk2>
      <a:lt2>
        <a:srgbClr val="E8E9E8"/>
      </a:lt2>
      <a:accent1>
        <a:srgbClr val="4472C4"/>
      </a:accent1>
      <a:accent2>
        <a:srgbClr val="B1B900"/>
      </a:accent2>
      <a:accent3>
        <a:srgbClr val="E94F11"/>
      </a:accent3>
      <a:accent4>
        <a:srgbClr val="E9CA00"/>
      </a:accent4>
      <a:accent5>
        <a:srgbClr val="394520"/>
      </a:accent5>
      <a:accent6>
        <a:srgbClr val="3F7230"/>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F737DD6A4E8C4DAD2EC844A18F4A5F" ma:contentTypeVersion="13" ma:contentTypeDescription="Skapa ett nytt dokument." ma:contentTypeScope="" ma:versionID="b3a3e514e48b0a529a2138fd1171a05b">
  <xsd:schema xmlns:xsd="http://www.w3.org/2001/XMLSchema" xmlns:xs="http://www.w3.org/2001/XMLSchema" xmlns:p="http://schemas.microsoft.com/office/2006/metadata/properties" xmlns:ns2="92f0d98b-3e1b-45be-9fdb-9d87c6ee8eaf" xmlns:ns3="531782a8-56d6-4c15-b386-1db1e4e2f53e" targetNamespace="http://schemas.microsoft.com/office/2006/metadata/properties" ma:root="true" ma:fieldsID="115b0e70dde42a849b109cdc508f925d" ns2:_="" ns3:_="">
    <xsd:import namespace="92f0d98b-3e1b-45be-9fdb-9d87c6ee8eaf"/>
    <xsd:import namespace="531782a8-56d6-4c15-b386-1db1e4e2f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0d98b-3e1b-45be-9fdb-9d87c6ee8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1782a8-56d6-4c15-b386-1db1e4e2f53e"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4DB444-2C4B-414E-95A6-A8961D97CB2E}"/>
</file>

<file path=customXml/itemProps2.xml><?xml version="1.0" encoding="utf-8"?>
<ds:datastoreItem xmlns:ds="http://schemas.openxmlformats.org/officeDocument/2006/customXml" ds:itemID="{06A4DBA8-D1B0-4256-8D94-38EFC565B835}"/>
</file>

<file path=customXml/itemProps3.xml><?xml version="1.0" encoding="utf-8"?>
<ds:datastoreItem xmlns:ds="http://schemas.openxmlformats.org/officeDocument/2006/customXml" ds:itemID="{D1C35BC3-56FB-4D45-AB46-06BFB24A0FFF}"/>
</file>

<file path=docProps/app.xml><?xml version="1.0" encoding="utf-8"?>
<Properties xmlns="http://schemas.openxmlformats.org/officeDocument/2006/extended-properties" xmlns:vt="http://schemas.openxmlformats.org/officeDocument/2006/docPropsVTypes">
  <Template>Normal.dotm</Template>
  <TotalTime>0</TotalTime>
  <Pages>4</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Gulf of Maine Research Institute</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Kanae Tokunaga</dc:creator>
  <cp:keywords/>
  <dc:description/>
  <cp:lastModifiedBy>Albert Norstrom</cp:lastModifiedBy>
  <cp:revision>2</cp:revision>
  <dcterms:created xsi:type="dcterms:W3CDTF">2021-10-19T17:32:00Z</dcterms:created>
  <dcterms:modified xsi:type="dcterms:W3CDTF">2021-10-19T17:32:00Z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0x01010022F737DD6A4E8C4DAD2EC844A18F4A5F</vt:lpwstr>
  </property>
</Properties>
</file>